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95277B" w:rsidP="00A12E59">
            <w:pPr>
              <w:jc w:val="center"/>
              <w:rPr>
                <w:sz w:val="20"/>
              </w:rPr>
            </w:pPr>
            <w:r>
              <w:rPr>
                <w:sz w:val="20"/>
              </w:rPr>
              <w:t>39</w:t>
            </w:r>
          </w:p>
        </w:tc>
        <w:tc>
          <w:tcPr>
            <w:tcW w:w="1128" w:type="dxa"/>
            <w:tcBorders>
              <w:left w:val="single" w:sz="6" w:space="0" w:color="auto"/>
              <w:bottom w:val="single" w:sz="6" w:space="0" w:color="auto"/>
              <w:right w:val="single" w:sz="6" w:space="0" w:color="auto"/>
            </w:tcBorders>
            <w:vAlign w:val="center"/>
          </w:tcPr>
          <w:p w:rsidR="00A12E59" w:rsidRPr="00167EFE" w:rsidRDefault="0095277B" w:rsidP="00A12E59">
            <w:pPr>
              <w:jc w:val="center"/>
              <w:rPr>
                <w:sz w:val="20"/>
              </w:rPr>
            </w:pPr>
            <w:r>
              <w:rPr>
                <w:sz w:val="20"/>
              </w:rPr>
              <w:t>29</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A3BD4" w:rsidP="00A12E59">
            <w:pPr>
              <w:jc w:val="center"/>
              <w:rPr>
                <w:sz w:val="20"/>
              </w:rPr>
            </w:pPr>
            <w:r>
              <w:rPr>
                <w:sz w:val="20"/>
              </w:rPr>
              <w:t>08:</w:t>
            </w:r>
            <w:r w:rsidR="00651C92">
              <w:rPr>
                <w:sz w:val="20"/>
              </w:rPr>
              <w:t>17</w:t>
            </w:r>
          </w:p>
        </w:tc>
        <w:tc>
          <w:tcPr>
            <w:tcW w:w="845" w:type="dxa"/>
            <w:tcBorders>
              <w:left w:val="single" w:sz="6" w:space="0" w:color="auto"/>
              <w:bottom w:val="single" w:sz="6" w:space="0" w:color="auto"/>
              <w:right w:val="single" w:sz="6" w:space="0" w:color="auto"/>
            </w:tcBorders>
            <w:vAlign w:val="center"/>
          </w:tcPr>
          <w:p w:rsidR="003C148F" w:rsidRPr="00167EFE" w:rsidRDefault="003A3BD4" w:rsidP="003C148F">
            <w:pPr>
              <w:jc w:val="center"/>
              <w:rPr>
                <w:sz w:val="20"/>
              </w:rPr>
            </w:pPr>
            <w:r>
              <w:rPr>
                <w:sz w:val="20"/>
              </w:rPr>
              <w:t>15:</w:t>
            </w:r>
            <w:r w:rsidR="00651C92">
              <w:rPr>
                <w:sz w:val="20"/>
              </w:rPr>
              <w:t>44</w:t>
            </w:r>
          </w:p>
        </w:tc>
        <w:tc>
          <w:tcPr>
            <w:tcW w:w="846" w:type="dxa"/>
            <w:tcBorders>
              <w:left w:val="single" w:sz="6" w:space="0" w:color="auto"/>
              <w:bottom w:val="single" w:sz="6" w:space="0" w:color="auto"/>
              <w:right w:val="single" w:sz="6" w:space="0" w:color="auto"/>
            </w:tcBorders>
            <w:vAlign w:val="center"/>
          </w:tcPr>
          <w:p w:rsidR="00A12E59" w:rsidRPr="003E436A" w:rsidRDefault="0095277B" w:rsidP="00A12E59">
            <w:pPr>
              <w:jc w:val="center"/>
              <w:rPr>
                <w:sz w:val="20"/>
                <w:lang w:val="en-CA"/>
              </w:rPr>
            </w:pPr>
            <w:r>
              <w:rPr>
                <w:sz w:val="20"/>
                <w:lang w:val="en-CA"/>
              </w:rPr>
              <w:t>0.586</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Decontamination </w:t>
            </w:r>
            <w:r w:rsidR="00EF0505">
              <w:rPr>
                <w:sz w:val="20"/>
              </w:rPr>
              <w:t xml:space="preserve">Facility - </w:t>
            </w:r>
            <w:r>
              <w:rPr>
                <w:sz w:val="20"/>
              </w:rPr>
              <w:t>Clean Room</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651C92">
              <w:rPr>
                <w:sz w:val="20"/>
              </w:rPr>
              <w:t>47</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95277B"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40</w:t>
            </w:r>
          </w:p>
        </w:tc>
        <w:tc>
          <w:tcPr>
            <w:tcW w:w="1128"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29/07/15</w:t>
            </w:r>
          </w:p>
        </w:tc>
        <w:tc>
          <w:tcPr>
            <w:tcW w:w="846" w:type="dxa"/>
            <w:tcBorders>
              <w:left w:val="single" w:sz="6" w:space="0" w:color="auto"/>
              <w:bottom w:val="single" w:sz="6" w:space="0" w:color="auto"/>
              <w:right w:val="single" w:sz="6" w:space="0" w:color="auto"/>
            </w:tcBorders>
            <w:vAlign w:val="center"/>
          </w:tcPr>
          <w:p w:rsidR="0095277B" w:rsidRPr="001426A1" w:rsidRDefault="003A3BD4" w:rsidP="0095277B">
            <w:pPr>
              <w:jc w:val="center"/>
              <w:rPr>
                <w:sz w:val="20"/>
              </w:rPr>
            </w:pPr>
            <w:r>
              <w:rPr>
                <w:sz w:val="20"/>
              </w:rPr>
              <w:t>08:</w:t>
            </w:r>
            <w:r w:rsidR="00651C92">
              <w:rPr>
                <w:sz w:val="20"/>
              </w:rPr>
              <w:t>18</w:t>
            </w:r>
          </w:p>
        </w:tc>
        <w:tc>
          <w:tcPr>
            <w:tcW w:w="845" w:type="dxa"/>
            <w:tcBorders>
              <w:left w:val="single" w:sz="6" w:space="0" w:color="auto"/>
              <w:bottom w:val="single" w:sz="6" w:space="0" w:color="auto"/>
              <w:right w:val="single" w:sz="6" w:space="0" w:color="auto"/>
            </w:tcBorders>
            <w:vAlign w:val="center"/>
          </w:tcPr>
          <w:p w:rsidR="0095277B" w:rsidRPr="0005345A" w:rsidRDefault="003A3BD4" w:rsidP="0095277B">
            <w:pPr>
              <w:jc w:val="center"/>
              <w:rPr>
                <w:sz w:val="20"/>
              </w:rPr>
            </w:pPr>
            <w:r>
              <w:rPr>
                <w:sz w:val="20"/>
              </w:rPr>
              <w:t>15:</w:t>
            </w:r>
            <w:r w:rsidR="00651C92">
              <w:rPr>
                <w:sz w:val="20"/>
              </w:rPr>
              <w:t>45</w:t>
            </w:r>
          </w:p>
        </w:tc>
        <w:tc>
          <w:tcPr>
            <w:tcW w:w="846" w:type="dxa"/>
            <w:tcBorders>
              <w:left w:val="single" w:sz="6" w:space="0" w:color="auto"/>
              <w:bottom w:val="single" w:sz="6" w:space="0" w:color="auto"/>
              <w:right w:val="single" w:sz="6" w:space="0" w:color="auto"/>
            </w:tcBorders>
            <w:vAlign w:val="center"/>
          </w:tcPr>
          <w:p w:rsidR="0095277B" w:rsidRPr="003E436A" w:rsidRDefault="0095277B" w:rsidP="0095277B">
            <w:pPr>
              <w:jc w:val="center"/>
              <w:rPr>
                <w:sz w:val="20"/>
                <w:lang w:val="en-CA"/>
              </w:rPr>
            </w:pPr>
            <w:r>
              <w:rPr>
                <w:sz w:val="20"/>
                <w:lang w:val="en-CA"/>
              </w:rPr>
              <w:t>0.687</w:t>
            </w:r>
          </w:p>
        </w:tc>
        <w:tc>
          <w:tcPr>
            <w:tcW w:w="3622" w:type="dxa"/>
            <w:tcBorders>
              <w:left w:val="single" w:sz="6" w:space="0" w:color="auto"/>
              <w:bottom w:val="single" w:sz="6" w:space="0" w:color="auto"/>
              <w:right w:val="single" w:sz="6" w:space="0" w:color="auto"/>
            </w:tcBorders>
            <w:vAlign w:val="center"/>
          </w:tcPr>
          <w:p w:rsidR="0095277B" w:rsidRPr="00430357" w:rsidRDefault="0095277B" w:rsidP="0095277B">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95277B" w:rsidRPr="00F66C8D" w:rsidRDefault="0095277B" w:rsidP="0095277B">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95277B" w:rsidRDefault="0095277B" w:rsidP="0095277B">
            <w:pPr>
              <w:jc w:val="center"/>
              <w:rPr>
                <w:sz w:val="20"/>
              </w:rPr>
            </w:pPr>
            <w:r>
              <w:rPr>
                <w:sz w:val="20"/>
              </w:rPr>
              <w:t>0.00</w:t>
            </w:r>
            <w:r w:rsidR="00651C92">
              <w:rPr>
                <w:sz w:val="20"/>
              </w:rPr>
              <w:t>42</w:t>
            </w:r>
          </w:p>
        </w:tc>
        <w:tc>
          <w:tcPr>
            <w:tcW w:w="2232" w:type="dxa"/>
            <w:tcBorders>
              <w:left w:val="single" w:sz="6" w:space="0" w:color="auto"/>
              <w:bottom w:val="single" w:sz="6" w:space="0" w:color="auto"/>
              <w:right w:val="single" w:sz="6" w:space="0" w:color="auto"/>
            </w:tcBorders>
            <w:vAlign w:val="center"/>
          </w:tcPr>
          <w:p w:rsidR="0095277B" w:rsidRDefault="0095277B" w:rsidP="0095277B">
            <w:pPr>
              <w:pStyle w:val="Footer"/>
              <w:tabs>
                <w:tab w:val="clear" w:pos="4320"/>
                <w:tab w:val="clear" w:pos="8640"/>
              </w:tabs>
              <w:rPr>
                <w:sz w:val="20"/>
              </w:rPr>
            </w:pPr>
            <w:r w:rsidRPr="00167EFE">
              <w:rPr>
                <w:sz w:val="20"/>
              </w:rPr>
              <w:t>Fib</w:t>
            </w:r>
            <w:r>
              <w:rPr>
                <w:sz w:val="20"/>
              </w:rPr>
              <w:t>re Level Acceptable.</w:t>
            </w:r>
          </w:p>
          <w:p w:rsidR="0095277B" w:rsidRPr="00167EFE" w:rsidRDefault="0095277B" w:rsidP="0095277B">
            <w:pPr>
              <w:pStyle w:val="Footer"/>
              <w:tabs>
                <w:tab w:val="clear" w:pos="4320"/>
                <w:tab w:val="clear" w:pos="8640"/>
              </w:tabs>
              <w:rPr>
                <w:sz w:val="20"/>
              </w:rPr>
            </w:pPr>
            <w:r>
              <w:rPr>
                <w:sz w:val="20"/>
              </w:rPr>
              <w:t>No Concerns Noted.</w:t>
            </w:r>
          </w:p>
        </w:tc>
      </w:tr>
      <w:tr w:rsidR="0095277B"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41</w:t>
            </w:r>
          </w:p>
        </w:tc>
        <w:tc>
          <w:tcPr>
            <w:tcW w:w="1128"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29/07/15</w:t>
            </w:r>
          </w:p>
        </w:tc>
        <w:tc>
          <w:tcPr>
            <w:tcW w:w="846" w:type="dxa"/>
            <w:tcBorders>
              <w:left w:val="single" w:sz="6" w:space="0" w:color="auto"/>
              <w:bottom w:val="single" w:sz="6" w:space="0" w:color="auto"/>
              <w:right w:val="single" w:sz="6" w:space="0" w:color="auto"/>
            </w:tcBorders>
            <w:vAlign w:val="center"/>
          </w:tcPr>
          <w:p w:rsidR="0095277B" w:rsidRPr="00C568E4" w:rsidRDefault="003A3BD4" w:rsidP="0095277B">
            <w:pPr>
              <w:jc w:val="center"/>
              <w:rPr>
                <w:sz w:val="20"/>
              </w:rPr>
            </w:pPr>
            <w:r>
              <w:rPr>
                <w:sz w:val="20"/>
              </w:rPr>
              <w:t>08:</w:t>
            </w:r>
            <w:r w:rsidR="00651C92">
              <w:rPr>
                <w:sz w:val="20"/>
              </w:rPr>
              <w:t>19</w:t>
            </w:r>
          </w:p>
        </w:tc>
        <w:tc>
          <w:tcPr>
            <w:tcW w:w="845" w:type="dxa"/>
            <w:tcBorders>
              <w:left w:val="single" w:sz="6" w:space="0" w:color="auto"/>
              <w:bottom w:val="single" w:sz="6" w:space="0" w:color="auto"/>
              <w:right w:val="single" w:sz="6" w:space="0" w:color="auto"/>
            </w:tcBorders>
            <w:vAlign w:val="center"/>
          </w:tcPr>
          <w:p w:rsidR="0095277B" w:rsidRPr="00167EFE" w:rsidRDefault="003A3BD4" w:rsidP="0095277B">
            <w:pPr>
              <w:jc w:val="center"/>
              <w:rPr>
                <w:sz w:val="20"/>
              </w:rPr>
            </w:pPr>
            <w:r>
              <w:rPr>
                <w:sz w:val="20"/>
              </w:rPr>
              <w:t>15:</w:t>
            </w:r>
            <w:r w:rsidR="00651C92">
              <w:rPr>
                <w:sz w:val="20"/>
              </w:rPr>
              <w:t>46</w:t>
            </w:r>
          </w:p>
        </w:tc>
        <w:tc>
          <w:tcPr>
            <w:tcW w:w="846" w:type="dxa"/>
            <w:tcBorders>
              <w:left w:val="single" w:sz="6" w:space="0" w:color="auto"/>
              <w:bottom w:val="single" w:sz="6" w:space="0" w:color="auto"/>
              <w:right w:val="single" w:sz="6" w:space="0" w:color="auto"/>
            </w:tcBorders>
            <w:vAlign w:val="center"/>
          </w:tcPr>
          <w:p w:rsidR="0095277B" w:rsidRPr="003E436A" w:rsidRDefault="0095277B" w:rsidP="0095277B">
            <w:pPr>
              <w:jc w:val="center"/>
              <w:rPr>
                <w:sz w:val="20"/>
                <w:lang w:val="en-CA"/>
              </w:rPr>
            </w:pPr>
            <w:r>
              <w:rPr>
                <w:sz w:val="20"/>
                <w:lang w:val="en-CA"/>
              </w:rPr>
              <w:t>0.591</w:t>
            </w:r>
          </w:p>
        </w:tc>
        <w:tc>
          <w:tcPr>
            <w:tcW w:w="3622" w:type="dxa"/>
            <w:tcBorders>
              <w:left w:val="single" w:sz="6" w:space="0" w:color="auto"/>
              <w:bottom w:val="single" w:sz="6" w:space="0" w:color="auto"/>
              <w:right w:val="single" w:sz="6" w:space="0" w:color="auto"/>
            </w:tcBorders>
            <w:vAlign w:val="center"/>
          </w:tcPr>
          <w:p w:rsidR="0095277B" w:rsidRPr="00430357" w:rsidRDefault="0095277B" w:rsidP="0095277B">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95277B" w:rsidRPr="00F66C8D" w:rsidRDefault="0095277B" w:rsidP="0095277B">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95277B" w:rsidRDefault="0095277B" w:rsidP="0095277B">
            <w:pPr>
              <w:jc w:val="center"/>
              <w:rPr>
                <w:sz w:val="20"/>
              </w:rPr>
            </w:pPr>
            <w:r>
              <w:rPr>
                <w:sz w:val="20"/>
              </w:rPr>
              <w:t>0.00</w:t>
            </w:r>
            <w:r w:rsidR="00651C92">
              <w:rPr>
                <w:sz w:val="20"/>
              </w:rPr>
              <w:t>28</w:t>
            </w:r>
          </w:p>
        </w:tc>
        <w:tc>
          <w:tcPr>
            <w:tcW w:w="2232" w:type="dxa"/>
            <w:tcBorders>
              <w:left w:val="single" w:sz="6" w:space="0" w:color="auto"/>
              <w:bottom w:val="single" w:sz="6" w:space="0" w:color="auto"/>
              <w:right w:val="single" w:sz="6" w:space="0" w:color="auto"/>
            </w:tcBorders>
            <w:vAlign w:val="center"/>
          </w:tcPr>
          <w:p w:rsidR="0095277B" w:rsidRDefault="0095277B" w:rsidP="0095277B">
            <w:pPr>
              <w:pStyle w:val="Footer"/>
              <w:tabs>
                <w:tab w:val="clear" w:pos="4320"/>
                <w:tab w:val="clear" w:pos="8640"/>
              </w:tabs>
              <w:rPr>
                <w:sz w:val="20"/>
              </w:rPr>
            </w:pPr>
            <w:r w:rsidRPr="00167EFE">
              <w:rPr>
                <w:sz w:val="20"/>
              </w:rPr>
              <w:t>Fib</w:t>
            </w:r>
            <w:r>
              <w:rPr>
                <w:sz w:val="20"/>
              </w:rPr>
              <w:t>re Level Acceptable.</w:t>
            </w:r>
          </w:p>
          <w:p w:rsidR="0095277B" w:rsidRPr="00167EFE" w:rsidRDefault="0095277B" w:rsidP="0095277B">
            <w:pPr>
              <w:pStyle w:val="Footer"/>
              <w:tabs>
                <w:tab w:val="clear" w:pos="4320"/>
                <w:tab w:val="clear" w:pos="8640"/>
              </w:tabs>
              <w:rPr>
                <w:sz w:val="20"/>
              </w:rPr>
            </w:pPr>
            <w:r>
              <w:rPr>
                <w:sz w:val="20"/>
              </w:rPr>
              <w:t>No Concerns Noted.</w:t>
            </w:r>
          </w:p>
        </w:tc>
      </w:tr>
      <w:tr w:rsidR="0095277B"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42</w:t>
            </w:r>
          </w:p>
        </w:tc>
        <w:tc>
          <w:tcPr>
            <w:tcW w:w="1128"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29/07/15</w:t>
            </w:r>
          </w:p>
        </w:tc>
        <w:tc>
          <w:tcPr>
            <w:tcW w:w="846" w:type="dxa"/>
            <w:tcBorders>
              <w:left w:val="single" w:sz="6" w:space="0" w:color="auto"/>
              <w:bottom w:val="single" w:sz="6" w:space="0" w:color="auto"/>
              <w:right w:val="single" w:sz="6" w:space="0" w:color="auto"/>
            </w:tcBorders>
            <w:vAlign w:val="center"/>
          </w:tcPr>
          <w:p w:rsidR="0095277B" w:rsidRPr="00C568E4" w:rsidRDefault="003A3BD4" w:rsidP="0095277B">
            <w:pPr>
              <w:jc w:val="center"/>
              <w:rPr>
                <w:sz w:val="20"/>
              </w:rPr>
            </w:pPr>
            <w:r>
              <w:rPr>
                <w:sz w:val="20"/>
              </w:rPr>
              <w:t>08:</w:t>
            </w:r>
            <w:r w:rsidR="00651C92">
              <w:rPr>
                <w:sz w:val="20"/>
              </w:rPr>
              <w:t>20</w:t>
            </w:r>
          </w:p>
        </w:tc>
        <w:tc>
          <w:tcPr>
            <w:tcW w:w="845" w:type="dxa"/>
            <w:tcBorders>
              <w:left w:val="single" w:sz="6" w:space="0" w:color="auto"/>
              <w:bottom w:val="single" w:sz="6" w:space="0" w:color="auto"/>
              <w:right w:val="single" w:sz="6" w:space="0" w:color="auto"/>
            </w:tcBorders>
            <w:vAlign w:val="center"/>
          </w:tcPr>
          <w:p w:rsidR="0095277B" w:rsidRPr="00167EFE" w:rsidRDefault="003A3BD4" w:rsidP="0095277B">
            <w:pPr>
              <w:jc w:val="center"/>
              <w:rPr>
                <w:sz w:val="20"/>
              </w:rPr>
            </w:pPr>
            <w:r>
              <w:rPr>
                <w:sz w:val="20"/>
              </w:rPr>
              <w:t>15:</w:t>
            </w:r>
            <w:r w:rsidR="00651C92">
              <w:rPr>
                <w:sz w:val="20"/>
              </w:rPr>
              <w:t>47</w:t>
            </w:r>
          </w:p>
        </w:tc>
        <w:tc>
          <w:tcPr>
            <w:tcW w:w="846" w:type="dxa"/>
            <w:tcBorders>
              <w:left w:val="single" w:sz="6" w:space="0" w:color="auto"/>
              <w:bottom w:val="single" w:sz="6" w:space="0" w:color="auto"/>
              <w:right w:val="single" w:sz="6" w:space="0" w:color="auto"/>
            </w:tcBorders>
            <w:vAlign w:val="center"/>
          </w:tcPr>
          <w:p w:rsidR="0095277B" w:rsidRPr="003E436A" w:rsidRDefault="0095277B" w:rsidP="0095277B">
            <w:pPr>
              <w:jc w:val="center"/>
              <w:rPr>
                <w:sz w:val="20"/>
                <w:lang w:val="en-CA"/>
              </w:rPr>
            </w:pPr>
            <w:r>
              <w:rPr>
                <w:sz w:val="20"/>
                <w:lang w:val="en-CA"/>
              </w:rPr>
              <w:t>0.513</w:t>
            </w:r>
          </w:p>
        </w:tc>
        <w:tc>
          <w:tcPr>
            <w:tcW w:w="3622" w:type="dxa"/>
            <w:tcBorders>
              <w:left w:val="single" w:sz="6" w:space="0" w:color="auto"/>
              <w:bottom w:val="single" w:sz="6" w:space="0" w:color="auto"/>
              <w:right w:val="single" w:sz="6" w:space="0" w:color="auto"/>
            </w:tcBorders>
            <w:vAlign w:val="center"/>
          </w:tcPr>
          <w:p w:rsidR="0095277B" w:rsidRPr="00430357" w:rsidRDefault="0095277B" w:rsidP="0095277B">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95277B" w:rsidRPr="00F66C8D" w:rsidRDefault="0095277B" w:rsidP="0095277B">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95277B" w:rsidRDefault="0095277B" w:rsidP="0095277B">
            <w:pPr>
              <w:jc w:val="center"/>
              <w:rPr>
                <w:sz w:val="20"/>
              </w:rPr>
            </w:pPr>
            <w:r>
              <w:rPr>
                <w:sz w:val="20"/>
              </w:rPr>
              <w:t>0.00</w:t>
            </w:r>
            <w:r w:rsidR="00651C92">
              <w:rPr>
                <w:sz w:val="20"/>
              </w:rPr>
              <w:t>21</w:t>
            </w:r>
          </w:p>
        </w:tc>
        <w:tc>
          <w:tcPr>
            <w:tcW w:w="2232" w:type="dxa"/>
            <w:tcBorders>
              <w:left w:val="single" w:sz="6" w:space="0" w:color="auto"/>
              <w:bottom w:val="single" w:sz="6" w:space="0" w:color="auto"/>
              <w:right w:val="single" w:sz="6" w:space="0" w:color="auto"/>
            </w:tcBorders>
            <w:vAlign w:val="center"/>
          </w:tcPr>
          <w:p w:rsidR="0095277B" w:rsidRDefault="0095277B" w:rsidP="0095277B">
            <w:pPr>
              <w:pStyle w:val="Footer"/>
              <w:tabs>
                <w:tab w:val="clear" w:pos="4320"/>
                <w:tab w:val="clear" w:pos="8640"/>
              </w:tabs>
              <w:rPr>
                <w:sz w:val="20"/>
              </w:rPr>
            </w:pPr>
            <w:r w:rsidRPr="00167EFE">
              <w:rPr>
                <w:sz w:val="20"/>
              </w:rPr>
              <w:t>Fib</w:t>
            </w:r>
            <w:r>
              <w:rPr>
                <w:sz w:val="20"/>
              </w:rPr>
              <w:t>re Level Acceptable.</w:t>
            </w:r>
          </w:p>
          <w:p w:rsidR="0095277B" w:rsidRPr="00167EFE" w:rsidRDefault="0095277B" w:rsidP="0095277B">
            <w:pPr>
              <w:pStyle w:val="Footer"/>
              <w:tabs>
                <w:tab w:val="clear" w:pos="4320"/>
                <w:tab w:val="clear" w:pos="8640"/>
              </w:tabs>
              <w:rPr>
                <w:sz w:val="20"/>
              </w:rPr>
            </w:pPr>
            <w:r>
              <w:rPr>
                <w:sz w:val="20"/>
              </w:rPr>
              <w:t>No Concerns Noted.</w:t>
            </w:r>
          </w:p>
        </w:tc>
      </w:tr>
      <w:tr w:rsidR="0095277B"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43</w:t>
            </w:r>
          </w:p>
        </w:tc>
        <w:tc>
          <w:tcPr>
            <w:tcW w:w="1128" w:type="dxa"/>
            <w:tcBorders>
              <w:left w:val="single" w:sz="6" w:space="0" w:color="auto"/>
              <w:bottom w:val="single" w:sz="6" w:space="0" w:color="auto"/>
              <w:right w:val="single" w:sz="6" w:space="0" w:color="auto"/>
            </w:tcBorders>
            <w:vAlign w:val="center"/>
          </w:tcPr>
          <w:p w:rsidR="0095277B" w:rsidRPr="00167EFE" w:rsidRDefault="0095277B" w:rsidP="0095277B">
            <w:pPr>
              <w:jc w:val="center"/>
              <w:rPr>
                <w:sz w:val="20"/>
              </w:rPr>
            </w:pPr>
            <w:r>
              <w:rPr>
                <w:sz w:val="20"/>
              </w:rPr>
              <w:t>29/07/15</w:t>
            </w:r>
          </w:p>
        </w:tc>
        <w:tc>
          <w:tcPr>
            <w:tcW w:w="846" w:type="dxa"/>
            <w:tcBorders>
              <w:left w:val="single" w:sz="6" w:space="0" w:color="auto"/>
              <w:bottom w:val="single" w:sz="6" w:space="0" w:color="auto"/>
              <w:right w:val="single" w:sz="6" w:space="0" w:color="auto"/>
            </w:tcBorders>
            <w:vAlign w:val="center"/>
          </w:tcPr>
          <w:p w:rsidR="0095277B" w:rsidRPr="00C568E4" w:rsidRDefault="003A3BD4" w:rsidP="0095277B">
            <w:pPr>
              <w:jc w:val="center"/>
              <w:rPr>
                <w:sz w:val="20"/>
              </w:rPr>
            </w:pPr>
            <w:r>
              <w:rPr>
                <w:sz w:val="20"/>
              </w:rPr>
              <w:t>08:</w:t>
            </w:r>
            <w:r w:rsidR="00651C92">
              <w:rPr>
                <w:sz w:val="20"/>
              </w:rPr>
              <w:t>21</w:t>
            </w:r>
          </w:p>
        </w:tc>
        <w:tc>
          <w:tcPr>
            <w:tcW w:w="845" w:type="dxa"/>
            <w:tcBorders>
              <w:left w:val="single" w:sz="6" w:space="0" w:color="auto"/>
              <w:bottom w:val="single" w:sz="6" w:space="0" w:color="auto"/>
              <w:right w:val="single" w:sz="6" w:space="0" w:color="auto"/>
            </w:tcBorders>
            <w:vAlign w:val="center"/>
          </w:tcPr>
          <w:p w:rsidR="0095277B" w:rsidRPr="00167EFE" w:rsidRDefault="003A3BD4" w:rsidP="0095277B">
            <w:pPr>
              <w:jc w:val="center"/>
              <w:rPr>
                <w:sz w:val="20"/>
              </w:rPr>
            </w:pPr>
            <w:r>
              <w:rPr>
                <w:sz w:val="20"/>
              </w:rPr>
              <w:t>15:</w:t>
            </w:r>
            <w:r w:rsidR="00651C92">
              <w:rPr>
                <w:sz w:val="20"/>
              </w:rPr>
              <w:t>48</w:t>
            </w:r>
          </w:p>
        </w:tc>
        <w:tc>
          <w:tcPr>
            <w:tcW w:w="846" w:type="dxa"/>
            <w:tcBorders>
              <w:left w:val="single" w:sz="6" w:space="0" w:color="auto"/>
              <w:bottom w:val="single" w:sz="6" w:space="0" w:color="auto"/>
              <w:right w:val="single" w:sz="6" w:space="0" w:color="auto"/>
            </w:tcBorders>
            <w:vAlign w:val="center"/>
          </w:tcPr>
          <w:p w:rsidR="0095277B" w:rsidRPr="003E436A" w:rsidRDefault="0095277B" w:rsidP="0095277B">
            <w:pPr>
              <w:jc w:val="center"/>
              <w:rPr>
                <w:sz w:val="20"/>
                <w:lang w:val="en-CA"/>
              </w:rPr>
            </w:pPr>
            <w:r>
              <w:rPr>
                <w:sz w:val="20"/>
                <w:lang w:val="en-CA"/>
              </w:rPr>
              <w:t>0.429</w:t>
            </w:r>
          </w:p>
        </w:tc>
        <w:tc>
          <w:tcPr>
            <w:tcW w:w="3622" w:type="dxa"/>
            <w:tcBorders>
              <w:left w:val="single" w:sz="6" w:space="0" w:color="auto"/>
              <w:bottom w:val="single" w:sz="6" w:space="0" w:color="auto"/>
              <w:right w:val="single" w:sz="6" w:space="0" w:color="auto"/>
            </w:tcBorders>
            <w:vAlign w:val="center"/>
          </w:tcPr>
          <w:p w:rsidR="0095277B" w:rsidRPr="00430357" w:rsidRDefault="0095277B" w:rsidP="0095277B">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95277B" w:rsidRPr="00F66C8D" w:rsidRDefault="0095277B" w:rsidP="0095277B">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95277B" w:rsidRDefault="0095277B" w:rsidP="0095277B">
            <w:pPr>
              <w:jc w:val="center"/>
              <w:rPr>
                <w:sz w:val="20"/>
              </w:rPr>
            </w:pPr>
            <w:r>
              <w:rPr>
                <w:sz w:val="20"/>
              </w:rPr>
              <w:t>0.00</w:t>
            </w:r>
            <w:r w:rsidR="00651C92">
              <w:rPr>
                <w:sz w:val="20"/>
              </w:rPr>
              <w:t>26</w:t>
            </w:r>
            <w:bookmarkStart w:id="0" w:name="_GoBack"/>
            <w:bookmarkEnd w:id="0"/>
          </w:p>
        </w:tc>
        <w:tc>
          <w:tcPr>
            <w:tcW w:w="2232" w:type="dxa"/>
            <w:tcBorders>
              <w:left w:val="single" w:sz="6" w:space="0" w:color="auto"/>
              <w:bottom w:val="single" w:sz="6" w:space="0" w:color="auto"/>
              <w:right w:val="single" w:sz="6" w:space="0" w:color="auto"/>
            </w:tcBorders>
            <w:vAlign w:val="center"/>
          </w:tcPr>
          <w:p w:rsidR="0095277B" w:rsidRDefault="0095277B" w:rsidP="0095277B">
            <w:pPr>
              <w:pStyle w:val="Footer"/>
              <w:tabs>
                <w:tab w:val="clear" w:pos="4320"/>
                <w:tab w:val="clear" w:pos="8640"/>
              </w:tabs>
              <w:rPr>
                <w:sz w:val="20"/>
              </w:rPr>
            </w:pPr>
            <w:r w:rsidRPr="00167EFE">
              <w:rPr>
                <w:sz w:val="20"/>
              </w:rPr>
              <w:t>Fib</w:t>
            </w:r>
            <w:r>
              <w:rPr>
                <w:sz w:val="20"/>
              </w:rPr>
              <w:t>re Level Acceptable.</w:t>
            </w:r>
          </w:p>
          <w:p w:rsidR="0095277B" w:rsidRPr="00167EFE" w:rsidRDefault="0095277B" w:rsidP="0095277B">
            <w:pPr>
              <w:pStyle w:val="Footer"/>
              <w:tabs>
                <w:tab w:val="clear" w:pos="4320"/>
                <w:tab w:val="clear" w:pos="8640"/>
              </w:tabs>
              <w:rPr>
                <w:sz w:val="20"/>
              </w:rPr>
            </w:pPr>
            <w:r>
              <w:rPr>
                <w:sz w:val="20"/>
              </w:rPr>
              <w:t>No Concerns Noted.</w:t>
            </w:r>
          </w:p>
        </w:tc>
      </w:tr>
    </w:tbl>
    <w:p w:rsidR="000C007C" w:rsidRDefault="00651C92" w:rsidP="00BB1E49">
      <w:pPr>
        <w:rPr>
          <w:sz w:val="20"/>
        </w:rPr>
      </w:pPr>
      <w:r>
        <w:rPr>
          <w:sz w:val="20"/>
        </w:rPr>
        <w:t>Analyzed as per NIOSH 7400 Meth</w:t>
      </w:r>
      <w:r w:rsidR="00AE0453">
        <w:rPr>
          <w:sz w:val="20"/>
        </w:rPr>
        <w:t xml:space="preserve">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BB7" w:rsidRDefault="00303BB7">
      <w:r>
        <w:separator/>
      </w:r>
    </w:p>
  </w:endnote>
  <w:endnote w:type="continuationSeparator" w:id="0">
    <w:p w:rsidR="00303BB7" w:rsidRDefault="0030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651C92" w:rsidRPr="00651C92">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BB7" w:rsidRDefault="00303BB7">
      <w:r>
        <w:separator/>
      </w:r>
    </w:p>
  </w:footnote>
  <w:footnote w:type="continuationSeparator" w:id="0">
    <w:p w:rsidR="00303BB7" w:rsidRDefault="00303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499759029"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95277B">
      <w:rPr>
        <w:rFonts w:ascii="Arial" w:hAnsi="Arial"/>
        <w:b/>
        <w:sz w:val="28"/>
      </w:rPr>
      <w:t>29</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499759030"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4FB1"/>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3BB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4E18"/>
    <w:rsid w:val="0037697C"/>
    <w:rsid w:val="00376EAB"/>
    <w:rsid w:val="00381C39"/>
    <w:rsid w:val="00383017"/>
    <w:rsid w:val="0038384D"/>
    <w:rsid w:val="00384DEA"/>
    <w:rsid w:val="00387EC4"/>
    <w:rsid w:val="00390F63"/>
    <w:rsid w:val="00397A6F"/>
    <w:rsid w:val="003A08B8"/>
    <w:rsid w:val="003A2C9E"/>
    <w:rsid w:val="003A3BD4"/>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66E11"/>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1C92"/>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77B"/>
    <w:rsid w:val="00952C33"/>
    <w:rsid w:val="00954627"/>
    <w:rsid w:val="00956A64"/>
    <w:rsid w:val="00956AB5"/>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1485"/>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596F83-BEAD-4AE0-B932-E591C716A197}">
  <ds:schemaRefs>
    <ds:schemaRef ds:uri="http://schemas.openxmlformats.org/officeDocument/2006/bibliography"/>
  </ds:schemaRefs>
</ds:datastoreItem>
</file>

<file path=customXml/itemProps2.xml><?xml version="1.0" encoding="utf-8"?>
<ds:datastoreItem xmlns:ds="http://schemas.openxmlformats.org/officeDocument/2006/customXml" ds:itemID="{D513A01E-05F4-4E01-87FB-E3CE39304FC8}"/>
</file>

<file path=customXml/itemProps3.xml><?xml version="1.0" encoding="utf-8"?>
<ds:datastoreItem xmlns:ds="http://schemas.openxmlformats.org/officeDocument/2006/customXml" ds:itemID="{85C15D03-14FF-4598-8D45-436319311FF6}"/>
</file>

<file path=customXml/itemProps4.xml><?xml version="1.0" encoding="utf-8"?>
<ds:datastoreItem xmlns:ds="http://schemas.openxmlformats.org/officeDocument/2006/customXml" ds:itemID="{AF3145A4-392A-475A-B4E8-F2459DC7687F}"/>
</file>

<file path=docProps/app.xml><?xml version="1.0" encoding="utf-8"?>
<Properties xmlns="http://schemas.openxmlformats.org/officeDocument/2006/extended-properties" xmlns:vt="http://schemas.openxmlformats.org/officeDocument/2006/docPropsVTypes">
  <Template>Normal</Template>
  <TotalTime>13</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5</cp:revision>
  <cp:lastPrinted>2014-09-06T14:31:00Z</cp:lastPrinted>
  <dcterms:created xsi:type="dcterms:W3CDTF">2015-07-29T16:17:00Z</dcterms:created>
  <dcterms:modified xsi:type="dcterms:W3CDTF">2015-07-30T16:57:00Z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